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69A5" w14:textId="77777777" w:rsidR="005A6E0D" w:rsidRDefault="005A6E0D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</w:p>
    <w:p w14:paraId="0B7D76D8" w14:textId="427CBF23" w:rsidR="00020A70" w:rsidRPr="0044096E" w:rsidRDefault="00020A70" w:rsidP="00874952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</w:pPr>
      <w:r w:rsidRPr="0044096E">
        <w:rPr>
          <w:rFonts w:ascii="Calibri" w:eastAsia="Times New Roman" w:hAnsi="Calibri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6744F44A" w14:textId="305222CB" w:rsidR="00020A70" w:rsidRPr="009B1C07" w:rsidRDefault="00020A70" w:rsidP="0032719F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</w:pP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на „</w:t>
      </w:r>
      <w:r w:rsidR="007040AA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Компас Фонд за вземания“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АДСИЦ по чл.</w:t>
      </w:r>
      <w:r w:rsidR="00874952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100о, ал.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4, т.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 от ЗППЦК и чл.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12 и чл.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20,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2, т.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1,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 и ал.</w:t>
      </w:r>
      <w:r w:rsidR="00883F61" w:rsidRPr="007040AA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4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от Наредба №</w:t>
      </w:r>
      <w:r w:rsidR="00166898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2 от 9.11.2021 г. за първоначално  и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последващо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разкриване на информация при публично предлагане на ценни</w:t>
      </w:r>
      <w:r w:rsid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32719F" w:rsidRPr="0032719F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книжа и допускане на ценни книжа до търговия на регулиран пазар</w:t>
      </w:r>
      <w:r w:rsid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Pr="009B1C0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за периода </w:t>
      </w:r>
      <w:r w:rsidR="0069154B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01.</w:t>
      </w:r>
      <w:r w:rsidR="00536BD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</w:t>
      </w:r>
      <w:r w:rsidR="004926E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4</w:t>
      </w:r>
      <w:r w:rsidR="0069154B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C5190F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</w:t>
      </w:r>
      <w:r w:rsidR="0069154B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 – 3</w:t>
      </w:r>
      <w:r w:rsidR="004926E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0</w:t>
      </w:r>
      <w:r w:rsidR="0069154B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536BD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</w:t>
      </w:r>
      <w:r w:rsidR="004926E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6</w:t>
      </w:r>
      <w:r w:rsidR="0069154B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C5190F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</w:t>
      </w:r>
      <w:r w:rsidR="00BD2B62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874952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и с натрупване от 01.01.202</w:t>
      </w:r>
      <w:r w:rsidR="00C5190F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</w:t>
      </w:r>
      <w:r w:rsidR="00874952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 до 3</w:t>
      </w:r>
      <w:r w:rsidR="004926E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0</w:t>
      </w:r>
      <w:r w:rsidR="00874952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</w:t>
      </w:r>
      <w:r w:rsidR="00536BD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0</w:t>
      </w:r>
      <w:r w:rsidR="004926EE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ru-RU" w:eastAsia="zh-CN"/>
        </w:rPr>
        <w:t>6</w:t>
      </w:r>
      <w:r w:rsidR="00874952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.202</w:t>
      </w:r>
      <w:r w:rsidR="00C5190F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>3</w:t>
      </w:r>
      <w:r w:rsidR="00874952" w:rsidRPr="00D14F05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г.</w:t>
      </w:r>
      <w:r w:rsidR="0069154B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  <w:r w:rsidR="007F37A7"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zh-CN"/>
        </w:rPr>
        <w:t xml:space="preserve"> </w:t>
      </w:r>
    </w:p>
    <w:p w14:paraId="5B5CA115" w14:textId="77777777" w:rsidR="00091157" w:rsidRDefault="00091157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3B76727" w14:textId="77777777" w:rsidR="00754997" w:rsidRDefault="00754997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B9C998B" w14:textId="46C2C0D5" w:rsidR="00874952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bookmarkStart w:id="0" w:name="_Hlk94083469"/>
      <w:r w:rsidR="007040AA" w:rsidRPr="00564A6C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bookmarkEnd w:id="0"/>
      <w:r w:rsidR="000204F2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ЕИК </w:t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205685841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отм.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, респ. по реда на </w:t>
      </w:r>
      <w:r w:rsidR="00091157" w:rsidRPr="00091157">
        <w:rPr>
          <w:rFonts w:ascii="Calibri" w:eastAsia="SimSun" w:hAnsi="Calibri" w:cs="Times New Roman"/>
          <w:sz w:val="24"/>
          <w:szCs w:val="24"/>
          <w:lang w:eastAsia="zh-CN" w:bidi="bg-BG"/>
        </w:rPr>
        <w:t>Закона за дружествата със специална инвестиционна цел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за дружествата за секюритизация 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(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ЗДСИЦДС</w:t>
      </w:r>
      <w:r w:rsidR="00091157" w:rsidRPr="007040AA">
        <w:rPr>
          <w:rFonts w:ascii="Calibri" w:eastAsia="SimSun" w:hAnsi="Calibri" w:cs="Times New Roman"/>
          <w:sz w:val="24"/>
          <w:szCs w:val="24"/>
          <w:lang w:val="ru-RU" w:eastAsia="zh-CN" w:bidi="bg-BG"/>
        </w:rPr>
        <w:t>)</w:t>
      </w:r>
      <w:r w:rsidR="00091157">
        <w:rPr>
          <w:rFonts w:ascii="Calibri" w:eastAsia="SimSun" w:hAnsi="Calibri" w:cs="Times New Roman"/>
          <w:sz w:val="24"/>
          <w:szCs w:val="24"/>
          <w:lang w:eastAsia="zh-CN" w:bidi="bg-BG"/>
        </w:rPr>
        <w:t>, обнародван на 12.03.2021 г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53D75CAB" w14:textId="782E712D" w:rsidR="00C8050C" w:rsidRDefault="00874952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7040AA" w:rsidRPr="007040AA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 вписано в ТР на 01.06.2019 г. с ЕИК 205685841, със седалище и адрес на управление гр. София, п.код 1000, район „Възраждане“, ул. „Георг Вашингтон“ № 19, ет. 2. 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покупко – продажба на вземания.</w:t>
      </w:r>
    </w:p>
    <w:p w14:paraId="28B8CBC7" w14:textId="77777777" w:rsidR="007040AA" w:rsidRDefault="007040AA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80AF89F" w14:textId="7A4FD2F1" w:rsidR="002847D1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Банка Депозитар на Дружеството е </w:t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„Централна кооперативна банка”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АД.</w:t>
      </w:r>
    </w:p>
    <w:p w14:paraId="27F09FD7" w14:textId="77777777" w:rsidR="00C8050C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530B7CC" w14:textId="6F090E7E" w:rsidR="00020A7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EB7B08" w:rsidRPr="00EB7B08">
        <w:rPr>
          <w:rFonts w:ascii="Calibri" w:eastAsia="SimSun" w:hAnsi="Calibri" w:cs="Times New Roman"/>
          <w:sz w:val="24"/>
          <w:szCs w:val="24"/>
          <w:lang w:eastAsia="zh-CN" w:bidi="bg-BG"/>
        </w:rPr>
        <w:t>За обслужващо дружество, Дружеството има сключен договор с „АйДЕА обслужващо дружество” ЕООД, ЕИК 205501405, със седалище и адрес на управление гр. София, 1000, район „Средец“, ул.„Славянска“, № 29А, ет.2, ап.10.</w:t>
      </w:r>
      <w:r w:rsidR="00AA16DC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С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оглед на новоприетия ЗДСИЦДС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договорът с </w:t>
      </w:r>
      <w:r w:rsidR="003C18AB" w:rsidRPr="003C18AB">
        <w:rPr>
          <w:rFonts w:ascii="Calibri" w:eastAsia="SimSun" w:hAnsi="Calibri" w:cs="Times New Roman"/>
          <w:sz w:val="24"/>
          <w:szCs w:val="24"/>
          <w:lang w:eastAsia="zh-CN" w:bidi="bg-BG"/>
        </w:rPr>
        <w:t>„АйДЕА обслужващо дружество”</w:t>
      </w:r>
      <w:r w:rsidR="003C18A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ООД следва да бъде третиран като договор с трето лице по смисъла на чл.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27, ал.</w:t>
      </w:r>
      <w:r w:rsidR="00166898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>4 от ЗДСИЦДС</w:t>
      </w:r>
      <w:r w:rsidR="002847D1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43443FA8" w14:textId="0285B11D" w:rsidR="003C4EC9" w:rsidRPr="003C4EC9" w:rsidRDefault="003C4EC9" w:rsidP="003C4EC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има сключен договор за регулярно и ефективно разкриване</w:t>
      </w:r>
      <w:r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и разпространение на информация до обществеността с Инвестор.бг АД (</w:t>
      </w:r>
      <w:hyperlink r:id="rId7" w:history="1">
        <w:r w:rsidRPr="003C4EC9">
          <w:rPr>
            <w:rStyle w:val="Hyperlink"/>
            <w:rFonts w:ascii="Calibri" w:eastAsia="SimSun" w:hAnsi="Calibri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 w:rsidRPr="003C4EC9">
        <w:rPr>
          <w:rFonts w:ascii="Calibri" w:eastAsia="SimSun" w:hAnsi="Calibri" w:cs="Times New Roman"/>
          <w:sz w:val="24"/>
          <w:szCs w:val="24"/>
          <w:lang w:eastAsia="zh-CN" w:bidi="bg-BG"/>
        </w:rPr>
        <w:t>).</w:t>
      </w:r>
    </w:p>
    <w:p w14:paraId="497DD9A1" w14:textId="77777777" w:rsidR="003C4EC9" w:rsidRDefault="003C4EC9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4907EBE5" w14:textId="77777777" w:rsidR="00C8050C" w:rsidRPr="005F26F0" w:rsidRDefault="00C8050C" w:rsidP="002847D1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7EFE9572" w14:textId="75CF29EF" w:rsidR="00C8050C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С Решение № 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311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-ДСИЦ от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.1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.20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19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г. </w:t>
      </w:r>
      <w:r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на Комисията за финансов надзор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„Компас Фонд за вземания“ АДСИЦ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е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</w:t>
      </w:r>
      <w:r w:rsidR="00B5520D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ъв вземания</w:t>
      </w:r>
      <w:r w:rsidR="006E7E02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(секюритизация н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а </w:t>
      </w:r>
      <w:r w:rsidR="006E2BDC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вземания</w:t>
      </w:r>
      <w:r w:rsidR="003E0809" w:rsidRPr="00416CDB">
        <w:rPr>
          <w:rFonts w:ascii="Calibri" w:eastAsia="SimSun" w:hAnsi="Calibri" w:cs="Times New Roman"/>
          <w:sz w:val="24"/>
          <w:szCs w:val="24"/>
          <w:lang w:eastAsia="zh-CN" w:bidi="bg-BG"/>
        </w:rPr>
        <w:t>)</w:t>
      </w:r>
      <w:r w:rsidR="005A6E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. </w:t>
      </w:r>
    </w:p>
    <w:p w14:paraId="2788B461" w14:textId="77777777" w:rsidR="005A6E0D" w:rsidRPr="002F7A24" w:rsidRDefault="005A6E0D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07B843BC" w14:textId="578FF8CE" w:rsidR="006E7E02" w:rsidRPr="00B5520D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С Решение №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272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-ПД от 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16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.04.20</w:t>
      </w:r>
      <w:r w:rsidR="00B5520D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2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0 г. на Комисията за финансов надзор </w:t>
      </w:r>
      <w:r w:rsidR="00166898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>Д</w:t>
      </w:r>
      <w:r w:rsidR="006E7E02" w:rsidRPr="00B5520D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ружеството е вписано като публично дружество в регистъра на публичните дружества и други емитенти на ценни книжа. </w:t>
      </w:r>
    </w:p>
    <w:p w14:paraId="430B2697" w14:textId="77777777" w:rsidR="00C8050C" w:rsidRPr="002F7A24" w:rsidRDefault="00C8050C" w:rsidP="006E7E0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highlight w:val="yellow"/>
          <w:lang w:eastAsia="zh-CN" w:bidi="bg-BG"/>
        </w:rPr>
      </w:pPr>
    </w:p>
    <w:p w14:paraId="716363F3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0CFE51AC" w14:textId="16E0632B" w:rsidR="001619AE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Дружеството е с едностепенна система на управление и се управлява от Съвет на директорите в тричленен състав</w:t>
      </w:r>
      <w:r w:rsidR="002F7A24">
        <w:rPr>
          <w:rFonts w:ascii="Calibri" w:eastAsia="SimSun" w:hAnsi="Calibri" w:cs="Times New Roman"/>
          <w:sz w:val="24"/>
          <w:szCs w:val="24"/>
          <w:lang w:eastAsia="zh-CN" w:bidi="bg-BG"/>
        </w:rPr>
        <w:t>, с тригодишен мандат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:</w:t>
      </w:r>
    </w:p>
    <w:p w14:paraId="138FF8A5" w14:textId="77777777" w:rsidR="00CF7EE9" w:rsidRPr="005F26F0" w:rsidRDefault="00CF7EE9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6BF423F4" w14:textId="36E1E05B" w:rsidR="002F7A24" w:rsidRPr="004876AF" w:rsidRDefault="00C5190F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cstheme="minorHAnsi"/>
          <w:sz w:val="24"/>
          <w:szCs w:val="24"/>
        </w:rPr>
      </w:pPr>
      <w:r w:rsidRPr="00C5190F">
        <w:rPr>
          <w:rFonts w:cstheme="minorHAnsi"/>
          <w:sz w:val="24"/>
          <w:szCs w:val="24"/>
          <w:lang w:val="ru-RU"/>
        </w:rPr>
        <w:t xml:space="preserve">Алексей Алипиев Георгиев  </w:t>
      </w:r>
      <w:r w:rsidR="002F7A24" w:rsidRPr="004876AF">
        <w:rPr>
          <w:rFonts w:cstheme="minorHAnsi"/>
          <w:sz w:val="24"/>
          <w:szCs w:val="24"/>
        </w:rPr>
        <w:t xml:space="preserve">– Председател на СД; </w:t>
      </w:r>
    </w:p>
    <w:p w14:paraId="101425D4" w14:textId="18D83C95" w:rsidR="002F7A24" w:rsidRPr="004876AF" w:rsidRDefault="002F7A24" w:rsidP="002F7A24">
      <w:pPr>
        <w:pStyle w:val="ListParagraph"/>
        <w:numPr>
          <w:ilvl w:val="1"/>
          <w:numId w:val="26"/>
        </w:numPr>
        <w:spacing w:after="0" w:line="276" w:lineRule="auto"/>
        <w:ind w:left="1434" w:hanging="357"/>
        <w:jc w:val="both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 xml:space="preserve">Илхан Рамадан Фаик – </w:t>
      </w:r>
      <w:r w:rsidR="00C5190F">
        <w:rPr>
          <w:rFonts w:cstheme="minorHAnsi"/>
          <w:sz w:val="24"/>
          <w:szCs w:val="24"/>
        </w:rPr>
        <w:t xml:space="preserve">член </w:t>
      </w:r>
      <w:r w:rsidRPr="004876AF">
        <w:rPr>
          <w:rFonts w:cstheme="minorHAnsi"/>
          <w:sz w:val="24"/>
          <w:szCs w:val="24"/>
        </w:rPr>
        <w:t xml:space="preserve"> на СД;</w:t>
      </w:r>
    </w:p>
    <w:p w14:paraId="1388DE43" w14:textId="23F11280" w:rsidR="00C8050C" w:rsidRPr="002F7A24" w:rsidRDefault="002F7A24" w:rsidP="00DF57A4">
      <w:pPr>
        <w:pStyle w:val="ListParagraph"/>
        <w:numPr>
          <w:ilvl w:val="1"/>
          <w:numId w:val="26"/>
        </w:numPr>
        <w:spacing w:after="0" w:line="240" w:lineRule="auto"/>
        <w:ind w:left="1434" w:hanging="357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2F7A24">
        <w:rPr>
          <w:rFonts w:cstheme="minorHAnsi"/>
          <w:sz w:val="24"/>
          <w:szCs w:val="24"/>
        </w:rPr>
        <w:t>Иван Димитров Пирински – член на СД и Изпълнителен директор</w:t>
      </w:r>
      <w:r w:rsidR="0057205A" w:rsidRPr="002F7A24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04C3629F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56AB1CAA" w14:textId="7777777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</w:p>
    <w:p w14:paraId="7077736F" w14:textId="5B5F9187" w:rsidR="00C8050C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lastRenderedPageBreak/>
        <w:tab/>
      </w:r>
    </w:p>
    <w:p w14:paraId="31946D6D" w14:textId="2C5BA8EA" w:rsidR="005F26F0" w:rsidRDefault="00C8050C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Дружеството се представлява </w:t>
      </w:r>
      <w:r w:rsidR="00FB4E82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пред трети лица 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от изпълнителния директор</w:t>
      </w:r>
      <w:r w:rsidR="002F7A24" w:rsidRPr="002F7A24">
        <w:rPr>
          <w:rFonts w:ascii="Calibri" w:eastAsia="SimSun" w:hAnsi="Calibri" w:cs="Times New Roman"/>
          <w:sz w:val="24"/>
          <w:szCs w:val="24"/>
          <w:lang w:eastAsia="zh-CN" w:bidi="bg-BG"/>
        </w:rPr>
        <w:tab/>
        <w:t>Иван Димитров Пирински</w:t>
      </w:r>
      <w:r w:rsidR="001619AE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.</w:t>
      </w:r>
    </w:p>
    <w:p w14:paraId="2636AB11" w14:textId="77777777" w:rsidR="00091157" w:rsidRDefault="00091157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BB47371" w14:textId="77777777" w:rsidR="00754997" w:rsidRDefault="00754997" w:rsidP="001619AE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A4D750F" w14:textId="22D38A2D" w:rsidR="007B66E4" w:rsidRPr="00C8050C" w:rsidRDefault="00020A70" w:rsidP="00C8050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Информация за важни събития, настъпили през периода 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01.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</w:t>
      </w:r>
      <w:r w:rsidR="004926EE" w:rsidRPr="004926EE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4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202</w:t>
      </w:r>
      <w:r w:rsidR="00C5190F">
        <w:rPr>
          <w:rFonts w:ascii="Calibri" w:eastAsia="SimSun" w:hAnsi="Calibri" w:cs="Times New Roman"/>
          <w:b/>
          <w:sz w:val="24"/>
          <w:szCs w:val="24"/>
          <w:lang w:eastAsia="zh-CN"/>
        </w:rPr>
        <w:t>3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– 3</w:t>
      </w:r>
      <w:r w:rsidR="004926EE" w:rsidRPr="004926EE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0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</w:t>
      </w:r>
      <w:r w:rsidR="004926EE" w:rsidRPr="004926EE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4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C5190F">
        <w:rPr>
          <w:rFonts w:ascii="Calibri" w:eastAsia="SimSun" w:hAnsi="Calibri" w:cs="Times New Roman"/>
          <w:b/>
          <w:sz w:val="24"/>
          <w:szCs w:val="24"/>
          <w:lang w:eastAsia="zh-CN"/>
        </w:rPr>
        <w:t>3</w:t>
      </w:r>
      <w:r w:rsidR="00166898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69154B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и с натрупване от 01.01.202</w:t>
      </w:r>
      <w:r w:rsidR="00C5190F">
        <w:rPr>
          <w:rFonts w:ascii="Calibri" w:eastAsia="SimSun" w:hAnsi="Calibri" w:cs="Times New Roman"/>
          <w:b/>
          <w:sz w:val="24"/>
          <w:szCs w:val="24"/>
          <w:lang w:eastAsia="zh-CN"/>
        </w:rPr>
        <w:t>3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 до 3</w:t>
      </w:r>
      <w:r w:rsidR="004926EE" w:rsidRPr="004926EE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0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  <w:r w:rsidR="00536BDE">
        <w:rPr>
          <w:rFonts w:ascii="Calibri" w:eastAsia="SimSun" w:hAnsi="Calibri" w:cs="Times New Roman"/>
          <w:b/>
          <w:sz w:val="24"/>
          <w:szCs w:val="24"/>
          <w:lang w:eastAsia="zh-CN"/>
        </w:rPr>
        <w:t>0</w:t>
      </w:r>
      <w:r w:rsidR="004926EE" w:rsidRPr="004926EE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6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C5190F">
        <w:rPr>
          <w:rFonts w:ascii="Calibri" w:eastAsia="SimSun" w:hAnsi="Calibri" w:cs="Times New Roman"/>
          <w:b/>
          <w:sz w:val="24"/>
          <w:szCs w:val="24"/>
          <w:lang w:eastAsia="zh-CN"/>
        </w:rPr>
        <w:t>3</w:t>
      </w:r>
      <w:r w:rsid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7F37A7"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</w:p>
    <w:p w14:paraId="289077AC" w14:textId="77777777" w:rsidR="00C8050C" w:rsidRPr="00C8050C" w:rsidRDefault="00C8050C" w:rsidP="00C8050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0436A957" w14:textId="47AD6D90" w:rsidR="00C70F35" w:rsidRPr="00D14F05" w:rsidRDefault="00C70F35" w:rsidP="00C70F35">
      <w:pPr>
        <w:pStyle w:val="ListParagraph"/>
        <w:ind w:left="36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 w:rsidRPr="00D14F05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На 05.04.2023 г. Дружеството   сключи </w:t>
      </w:r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>с „</w:t>
      </w:r>
      <w:proofErr w:type="spellStart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>Иновативни</w:t>
      </w:r>
      <w:proofErr w:type="spellEnd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 xml:space="preserve"> </w:t>
      </w:r>
      <w:proofErr w:type="spellStart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>финанси</w:t>
      </w:r>
      <w:proofErr w:type="spellEnd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 xml:space="preserve">“ ООД, вписано в ТРРЮЛНЦ при </w:t>
      </w:r>
      <w:proofErr w:type="spellStart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>Агенцията</w:t>
      </w:r>
      <w:proofErr w:type="spellEnd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 xml:space="preserve"> по </w:t>
      </w:r>
      <w:proofErr w:type="spellStart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>вписванията</w:t>
      </w:r>
      <w:proofErr w:type="spellEnd"/>
      <w:r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 xml:space="preserve"> с ЕИК: 201257149</w:t>
      </w:r>
      <w:r w:rsidRPr="00D14F05">
        <w:rPr>
          <w:rFonts w:ascii="Calibri" w:eastAsia="SimSun" w:hAnsi="Calibri" w:cs="Times New Roman"/>
          <w:sz w:val="24"/>
          <w:szCs w:val="24"/>
          <w:lang w:eastAsia="zh-CN" w:bidi="bg-BG"/>
        </w:rPr>
        <w:t>, Рамков договор за периодично прехвърляне на вземания (Рамков договор за цесия)  и Конкретен договор за цесия № 1, Конкретен договор за цесия № 2, Конкретен договор за цесия № 3 и Конкретен договор за цесия № 4  за придобиване на четири пакета от вземания  на цена</w:t>
      </w:r>
      <w:r w:rsidR="00276F02"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 xml:space="preserve"> </w:t>
      </w:r>
      <w:r w:rsidRPr="00D14F05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от 9 9</w:t>
      </w:r>
      <w:r w:rsidR="00276F02"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>72</w:t>
      </w:r>
      <w:r w:rsidRPr="00D14F05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 </w:t>
      </w:r>
      <w:r w:rsidR="00276F02" w:rsidRPr="00D14F05">
        <w:rPr>
          <w:rFonts w:ascii="Calibri" w:eastAsia="SimSun" w:hAnsi="Calibri" w:cs="Times New Roman"/>
          <w:sz w:val="24"/>
          <w:szCs w:val="24"/>
          <w:lang w:val="ru-RU" w:eastAsia="zh-CN" w:bidi="bg-BG"/>
        </w:rPr>
        <w:t>4</w:t>
      </w:r>
      <w:r w:rsidRPr="00D14F05">
        <w:rPr>
          <w:rFonts w:ascii="Calibri" w:eastAsia="SimSun" w:hAnsi="Calibri" w:cs="Times New Roman"/>
          <w:sz w:val="24"/>
          <w:szCs w:val="24"/>
          <w:lang w:eastAsia="zh-CN" w:bidi="bg-BG"/>
        </w:rPr>
        <w:t xml:space="preserve">00 лева, която е заплатена със средства, набрани от облигационната емисия,  издадена от Дружеството. </w:t>
      </w:r>
    </w:p>
    <w:p w14:paraId="7E918D57" w14:textId="77777777" w:rsidR="004926EE" w:rsidRDefault="004926EE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</w:p>
    <w:p w14:paraId="74D5F188" w14:textId="4DDE42DC" w:rsidR="00276F02" w:rsidRPr="00CF18CF" w:rsidRDefault="00276F02" w:rsidP="00276F02">
      <w:pPr>
        <w:spacing w:after="200"/>
        <w:ind w:left="360"/>
        <w:jc w:val="both"/>
        <w:rPr>
          <w:rFonts w:cstheme="minorHAnsi"/>
          <w:sz w:val="24"/>
          <w:szCs w:val="24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>На</w:t>
      </w:r>
      <w:r w:rsidRPr="00CF18CF">
        <w:rPr>
          <w:rFonts w:cstheme="minorHAnsi"/>
          <w:sz w:val="24"/>
          <w:szCs w:val="24"/>
        </w:rPr>
        <w:t xml:space="preserve"> свое заседание от 05.04.2023г., Съветът на директорите на „Компас Фонд за вземания” АДСИЦ, обяви сключването на облигационен заем от първа по ред емисия корпоративни облигации при следните условия: </w:t>
      </w:r>
    </w:p>
    <w:tbl>
      <w:tblPr>
        <w:tblStyle w:val="TableGrid112"/>
        <w:tblW w:w="0" w:type="auto"/>
        <w:tblInd w:w="108" w:type="dxa"/>
        <w:tblLook w:val="04A0" w:firstRow="1" w:lastRow="0" w:firstColumn="1" w:lastColumn="0" w:noHBand="0" w:noVBand="1"/>
      </w:tblPr>
      <w:tblGrid>
        <w:gridCol w:w="2449"/>
        <w:gridCol w:w="6652"/>
      </w:tblGrid>
      <w:tr w:rsidR="00276F02" w:rsidRPr="00CF18CF" w14:paraId="41724E67" w14:textId="77777777" w:rsidTr="000F1938">
        <w:tc>
          <w:tcPr>
            <w:tcW w:w="2449" w:type="dxa"/>
            <w:vAlign w:val="center"/>
          </w:tcPr>
          <w:p w14:paraId="4E9FD522" w14:textId="77777777" w:rsidR="00276F02" w:rsidRPr="00CF18CF" w:rsidRDefault="00276F02" w:rsidP="000F193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Размер на емисията</w:t>
            </w:r>
          </w:p>
        </w:tc>
        <w:tc>
          <w:tcPr>
            <w:tcW w:w="6652" w:type="dxa"/>
            <w:vAlign w:val="center"/>
          </w:tcPr>
          <w:p w14:paraId="64C05463" w14:textId="77777777" w:rsidR="00276F02" w:rsidRPr="00CF18CF" w:rsidRDefault="00276F02" w:rsidP="000F1938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10 000 000 (десет милиона) лева, разпределени в 10 000 облигации с номинал 1 000 (хиляда) лева.</w:t>
            </w:r>
          </w:p>
        </w:tc>
      </w:tr>
      <w:tr w:rsidR="00276F02" w:rsidRPr="00CF18CF" w14:paraId="437E669B" w14:textId="77777777" w:rsidTr="000F1938">
        <w:tc>
          <w:tcPr>
            <w:tcW w:w="2449" w:type="dxa"/>
            <w:vAlign w:val="center"/>
          </w:tcPr>
          <w:p w14:paraId="5936A999" w14:textId="77777777" w:rsidR="00276F02" w:rsidRPr="00CF18CF" w:rsidRDefault="00276F02" w:rsidP="000F193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Дати на падежа на главницата</w:t>
            </w:r>
          </w:p>
        </w:tc>
        <w:tc>
          <w:tcPr>
            <w:tcW w:w="6652" w:type="dxa"/>
            <w:vAlign w:val="center"/>
          </w:tcPr>
          <w:p w14:paraId="211526CE" w14:textId="77777777" w:rsidR="00276F02" w:rsidRPr="00CF18CF" w:rsidRDefault="00276F02" w:rsidP="000F1938">
            <w:pPr>
              <w:widowControl w:val="0"/>
              <w:spacing w:after="120" w:line="278" w:lineRule="exact"/>
              <w:ind w:left="25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11.10.2025 г., 11.04.2026 г., 11.10.2026 г., 11.04.2027 г., 11.10.2027 г., 11.04.2028 г., 11.10.2028 г., 11.04.2029 г., 11.10.2029 г., 11.04.2030 г.</w:t>
            </w:r>
          </w:p>
        </w:tc>
      </w:tr>
      <w:tr w:rsidR="00276F02" w:rsidRPr="00CF18CF" w14:paraId="19DDEE33" w14:textId="77777777" w:rsidTr="000F1938">
        <w:tc>
          <w:tcPr>
            <w:tcW w:w="2449" w:type="dxa"/>
            <w:vAlign w:val="center"/>
          </w:tcPr>
          <w:p w14:paraId="633323DF" w14:textId="77777777" w:rsidR="00276F02" w:rsidRPr="00CF18CF" w:rsidRDefault="00276F02" w:rsidP="000F193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Лихвен процент</w:t>
            </w:r>
          </w:p>
        </w:tc>
        <w:tc>
          <w:tcPr>
            <w:tcW w:w="6652" w:type="dxa"/>
            <w:vAlign w:val="center"/>
          </w:tcPr>
          <w:p w14:paraId="3BF3FA81" w14:textId="77777777" w:rsidR="00276F02" w:rsidRPr="00CF18CF" w:rsidRDefault="00276F02" w:rsidP="000F1938">
            <w:p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Променлив лихвен процент, формиран от стойността на индекса ЛЕОНИА + 6.00 % (шест процента) на годишна база, но не по-малко от 6.00%, ако индекса ЛЕОНИА е отрицателна величина</w:t>
            </w:r>
          </w:p>
        </w:tc>
      </w:tr>
      <w:tr w:rsidR="00276F02" w:rsidRPr="00CF18CF" w14:paraId="08A1118A" w14:textId="77777777" w:rsidTr="000F1938">
        <w:trPr>
          <w:trHeight w:val="703"/>
        </w:trPr>
        <w:tc>
          <w:tcPr>
            <w:tcW w:w="2449" w:type="dxa"/>
            <w:vAlign w:val="center"/>
          </w:tcPr>
          <w:p w14:paraId="7207CB01" w14:textId="77777777" w:rsidR="00276F02" w:rsidRPr="00CF18CF" w:rsidRDefault="00276F02" w:rsidP="000F193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Периодичност на лихвените плащания</w:t>
            </w:r>
          </w:p>
        </w:tc>
        <w:tc>
          <w:tcPr>
            <w:tcW w:w="6652" w:type="dxa"/>
            <w:vAlign w:val="center"/>
          </w:tcPr>
          <w:p w14:paraId="3003D336" w14:textId="77777777" w:rsidR="00276F02" w:rsidRPr="00CF18CF" w:rsidRDefault="00276F02" w:rsidP="000F193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На шест месеца</w:t>
            </w:r>
          </w:p>
          <w:p w14:paraId="1DCA7D2F" w14:textId="77777777" w:rsidR="00276F02" w:rsidRPr="00CF18CF" w:rsidRDefault="00276F02" w:rsidP="000F1938">
            <w:pPr>
              <w:spacing w:after="120" w:line="278" w:lineRule="exact"/>
              <w:ind w:left="25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Дати на падежите на лихвените плащания – 11.10.2023 г.,  11.04.2024 г., 11.10.2024 г., 11.04.2025 г. 11.10.2025 г., 11.04.2026 г., 11.10.2026 г., 11.04.2027 г., 11.10.2027 г., 11.04.2028 г., 11.10.2028 г., 11.04.2029 г., 11.10.2029 г., 11.04.2030 г.</w:t>
            </w:r>
          </w:p>
          <w:p w14:paraId="7C31413F" w14:textId="77777777" w:rsidR="00276F02" w:rsidRPr="00CF18CF" w:rsidRDefault="00276F02" w:rsidP="000F1938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 xml:space="preserve">В случай че някоя от датите е почивен или неработен ден, лихвените плащания ще се извършват на първия следващ работен ден. </w:t>
            </w:r>
          </w:p>
        </w:tc>
      </w:tr>
      <w:tr w:rsidR="00276F02" w:rsidRPr="00CF18CF" w14:paraId="230F13A7" w14:textId="77777777" w:rsidTr="000F1938">
        <w:trPr>
          <w:trHeight w:val="2331"/>
        </w:trPr>
        <w:tc>
          <w:tcPr>
            <w:tcW w:w="2449" w:type="dxa"/>
            <w:vAlign w:val="center"/>
          </w:tcPr>
          <w:p w14:paraId="262A9428" w14:textId="77777777" w:rsidR="00276F02" w:rsidRPr="00CF18CF" w:rsidRDefault="00276F02" w:rsidP="000F1938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Обезпечение</w:t>
            </w:r>
          </w:p>
        </w:tc>
        <w:tc>
          <w:tcPr>
            <w:tcW w:w="6652" w:type="dxa"/>
            <w:vAlign w:val="center"/>
          </w:tcPr>
          <w:p w14:paraId="4A827EC6" w14:textId="77777777" w:rsidR="00276F02" w:rsidRPr="00CF18CF" w:rsidRDefault="00276F02" w:rsidP="000F1938">
            <w:pPr>
              <w:widowControl w:val="0"/>
              <w:autoSpaceDE w:val="0"/>
              <w:autoSpaceDN w:val="0"/>
              <w:adjustRightInd w:val="0"/>
              <w:spacing w:before="60" w:after="20" w:line="26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А) Първи по ред особен залог върху вземания, който следва да бъде учреден в срок от 30 дни, считано от сключването на облигационния заем. Размерът на главницата по заложените вземания следва във всеки един момент да бъде не по-малък от 130% от номиналната стойност на емисията и дължимите лихви;</w:t>
            </w:r>
          </w:p>
          <w:p w14:paraId="0B464D45" w14:textId="77777777" w:rsidR="00276F02" w:rsidRPr="00CF18CF" w:rsidRDefault="00276F02" w:rsidP="000F1938">
            <w:pPr>
              <w:widowControl w:val="0"/>
              <w:autoSpaceDE w:val="0"/>
              <w:autoSpaceDN w:val="0"/>
              <w:adjustRightInd w:val="0"/>
              <w:spacing w:before="60" w:after="20" w:line="260" w:lineRule="exact"/>
              <w:jc w:val="both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 w:rsidRPr="00CF18CF">
              <w:rPr>
                <w:rFonts w:asciiTheme="minorHAnsi" w:hAnsiTheme="minorHAnsi" w:cstheme="minorHAnsi"/>
                <w:sz w:val="24"/>
                <w:szCs w:val="24"/>
                <w:lang w:val="bg-BG"/>
              </w:rPr>
              <w:t>Б) Първи по ред особен залог върху разплащателна сметка в Тексим банк АД, който следва да бъде учреден в срок от 5 работни дни от сключването на облигационната емисия.</w:t>
            </w:r>
          </w:p>
        </w:tc>
      </w:tr>
    </w:tbl>
    <w:p w14:paraId="1471C15E" w14:textId="77777777" w:rsidR="00276F02" w:rsidRPr="00CF18CF" w:rsidRDefault="00276F02" w:rsidP="00276F02">
      <w:pPr>
        <w:jc w:val="both"/>
        <w:rPr>
          <w:rFonts w:cstheme="minorHAnsi"/>
          <w:sz w:val="24"/>
          <w:szCs w:val="24"/>
        </w:rPr>
      </w:pPr>
    </w:p>
    <w:p w14:paraId="6B13E280" w14:textId="77777777" w:rsidR="00276F02" w:rsidRPr="00CF18CF" w:rsidRDefault="00276F02" w:rsidP="00276F02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CF18CF">
        <w:rPr>
          <w:rFonts w:cstheme="minorHAnsi"/>
          <w:sz w:val="24"/>
          <w:szCs w:val="24"/>
        </w:rPr>
        <w:lastRenderedPageBreak/>
        <w:t xml:space="preserve">Средствата от облигационния заем са изцяло използвани от Дружеството за закупуване на портфейли от вземания. </w:t>
      </w:r>
    </w:p>
    <w:p w14:paraId="5812FFA2" w14:textId="77777777" w:rsidR="004926EE" w:rsidRDefault="004926EE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CB83968" w14:textId="62E51A63" w:rsidR="00020A70" w:rsidRPr="00C8050C" w:rsidRDefault="00020A70" w:rsidP="00DE1CC0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C8050C">
        <w:rPr>
          <w:rFonts w:ascii="Calibri" w:eastAsia="SimSun" w:hAnsi="Calibri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отчет.</w:t>
      </w:r>
    </w:p>
    <w:p w14:paraId="227F351B" w14:textId="77777777" w:rsidR="00A63C6C" w:rsidRDefault="00A63C6C" w:rsidP="00E3678A">
      <w:pPr>
        <w:spacing w:after="0" w:line="240" w:lineRule="auto"/>
        <w:ind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68C7CC05" w14:textId="3069A6A4" w:rsidR="00C5190F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i/>
          <w:sz w:val="24"/>
          <w:szCs w:val="24"/>
          <w:lang w:eastAsia="zh-CN"/>
        </w:rPr>
        <w:tab/>
      </w:r>
      <w:r w:rsidR="00405248" w:rsidRPr="00D14F05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настоящото </w:t>
      </w:r>
      <w:r w:rsidR="000204F2" w:rsidRPr="00D14F05">
        <w:rPr>
          <w:rFonts w:ascii="Calibri" w:eastAsia="SimSun" w:hAnsi="Calibri" w:cs="Times New Roman"/>
          <w:sz w:val="24"/>
          <w:szCs w:val="24"/>
          <w:lang w:eastAsia="zh-CN"/>
        </w:rPr>
        <w:t>три</w:t>
      </w:r>
      <w:r w:rsidR="00405248" w:rsidRPr="00D14F05">
        <w:rPr>
          <w:rFonts w:ascii="Calibri" w:eastAsia="SimSun" w:hAnsi="Calibri" w:cs="Times New Roman"/>
          <w:sz w:val="24"/>
          <w:szCs w:val="24"/>
          <w:lang w:eastAsia="zh-CN"/>
        </w:rPr>
        <w:t xml:space="preserve">месечие Дружеството продължи </w:t>
      </w:r>
      <w:r w:rsidR="00651422" w:rsidRPr="00D14F05">
        <w:rPr>
          <w:rFonts w:ascii="Calibri" w:eastAsia="SimSun" w:hAnsi="Calibri" w:cs="Times New Roman"/>
          <w:sz w:val="24"/>
          <w:szCs w:val="24"/>
          <w:lang w:eastAsia="zh-CN"/>
        </w:rPr>
        <w:t>усилията си за придобиване вземания</w:t>
      </w:r>
      <w:r w:rsidR="00405248" w:rsidRPr="00D14F05">
        <w:rPr>
          <w:rFonts w:ascii="Calibri" w:eastAsia="SimSun" w:hAnsi="Calibri" w:cs="Times New Roman"/>
          <w:sz w:val="24"/>
          <w:szCs w:val="24"/>
          <w:lang w:eastAsia="zh-CN"/>
        </w:rPr>
        <w:t xml:space="preserve">. </w:t>
      </w:r>
      <w:r w:rsidR="00A25592" w:rsidRPr="00D14F05">
        <w:rPr>
          <w:rFonts w:ascii="Calibri" w:eastAsia="SimSun" w:hAnsi="Calibri" w:cs="Times New Roman"/>
          <w:sz w:val="24"/>
          <w:szCs w:val="24"/>
          <w:lang w:eastAsia="zh-CN"/>
        </w:rPr>
        <w:t xml:space="preserve">Бяха сключени нови договори за вземания на обща стойност </w:t>
      </w:r>
      <w:r w:rsidR="00276F02" w:rsidRPr="00D14F05">
        <w:rPr>
          <w:rFonts w:ascii="Calibri" w:eastAsia="SimSun" w:hAnsi="Calibri" w:cs="Times New Roman"/>
          <w:sz w:val="24"/>
          <w:szCs w:val="24"/>
          <w:lang w:eastAsia="zh-CN"/>
        </w:rPr>
        <w:t>9 972 400 лева</w:t>
      </w:r>
    </w:p>
    <w:p w14:paraId="5DFB335F" w14:textId="77777777" w:rsidR="00276F02" w:rsidRPr="00A25592" w:rsidRDefault="00276F02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23575622" w14:textId="5CA4AD2A" w:rsidR="00C5190F" w:rsidRDefault="00C5190F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C5190F">
        <w:rPr>
          <w:rFonts w:ascii="Calibri" w:eastAsia="SimSun" w:hAnsi="Calibri" w:cs="Times New Roman"/>
          <w:sz w:val="24"/>
          <w:szCs w:val="24"/>
          <w:lang w:eastAsia="zh-CN"/>
        </w:rPr>
        <w:t>Пандемията от COVID-19 е в процес на затихване и повечето карантинни мерки и ограничения в тази връзка са само препоръчителни.</w:t>
      </w:r>
    </w:p>
    <w:p w14:paraId="68262569" w14:textId="77777777" w:rsidR="00754997" w:rsidRDefault="00754997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661E483E" w14:textId="77777777" w:rsidR="00C5190F" w:rsidRDefault="00720F48" w:rsidP="00720F48">
      <w:pPr>
        <w:tabs>
          <w:tab w:val="left" w:pos="567"/>
        </w:tabs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Pr="00720F48">
        <w:rPr>
          <w:rFonts w:eastAsia="SimSun" w:cstheme="minorHAnsi"/>
          <w:sz w:val="24"/>
          <w:szCs w:val="24"/>
          <w:lang w:eastAsia="zh-CN"/>
        </w:rPr>
        <w:t xml:space="preserve">От друга страна, </w:t>
      </w:r>
      <w:bookmarkStart w:id="1" w:name="_Hlk97285953"/>
      <w:r w:rsidRPr="00720F48">
        <w:rPr>
          <w:rFonts w:eastAsia="SimSun" w:cstheme="minorHAnsi"/>
          <w:sz w:val="24"/>
          <w:szCs w:val="24"/>
          <w:lang w:eastAsia="zh-CN"/>
        </w:rPr>
        <w:t>н</w:t>
      </w:r>
      <w:r w:rsidRPr="00720F48">
        <w:rPr>
          <w:rFonts w:eastAsia="Times New Roman" w:cstheme="minorHAnsi"/>
          <w:sz w:val="24"/>
          <w:szCs w:val="24"/>
          <w:lang w:eastAsia="ar-SA"/>
        </w:rPr>
        <w:t xml:space="preserve">а 24 февруари 2022 г. Руската Федерация започна военна инвазия в Украйна. В резултат на тези действия на Русия бяха наложени редица различни икономически и финансови санкции от Европейския съюз и други страни. </w:t>
      </w:r>
    </w:p>
    <w:p w14:paraId="01B9206B" w14:textId="5BAC6ABB" w:rsidR="00C5190F" w:rsidRDefault="00C5190F" w:rsidP="00CF18CF">
      <w:pPr>
        <w:tabs>
          <w:tab w:val="left" w:pos="567"/>
        </w:tabs>
        <w:ind w:firstLine="567"/>
        <w:jc w:val="both"/>
        <w:rPr>
          <w:rFonts w:eastAsia="Times New Roman" w:cstheme="minorHAnsi"/>
          <w:sz w:val="24"/>
          <w:szCs w:val="24"/>
          <w:lang w:eastAsia="ar-SA"/>
        </w:rPr>
      </w:pPr>
      <w:r w:rsidRPr="00C5190F">
        <w:rPr>
          <w:rFonts w:eastAsia="Times New Roman" w:cstheme="minorHAnsi"/>
          <w:sz w:val="24"/>
          <w:szCs w:val="24"/>
          <w:lang w:eastAsia="ar-SA"/>
        </w:rPr>
        <w:t>Конфликтът между Русия и Украйна оказа значително въздействие върху световната икономика по различни начини, свързани главно с цените на енергийните ресурси. Нарастващите цени и инфлацията в световната икономика вероятно ще имат широкообхватно въздействие върху дейността на Дружеството, свързано с бизнес модела, веригата за доставки, правните и договорните въпроси, служителите, потребителите и оборотния капитал.</w:t>
      </w:r>
    </w:p>
    <w:bookmarkEnd w:id="1"/>
    <w:p w14:paraId="7E2E8556" w14:textId="1A025C65" w:rsidR="00720F48" w:rsidRPr="00091157" w:rsidRDefault="00C5190F" w:rsidP="00CF18CF">
      <w:pPr>
        <w:spacing w:after="0" w:line="240" w:lineRule="auto"/>
        <w:ind w:firstLine="709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C5190F">
        <w:rPr>
          <w:rFonts w:eastAsia="Times New Roman" w:cstheme="minorHAnsi"/>
          <w:sz w:val="24"/>
          <w:szCs w:val="24"/>
          <w:lang w:eastAsia="ar-SA"/>
        </w:rPr>
        <w:t>Дружеството няма никакви активи и операции в Украйна, Беларус или Русия или в други държави, съседни на Украйна. Поради това Дружеството не е пряко засегнато от търговски ограничения или санкции, но е засегнато от по-широки макроикономически последици - съществено увеличение на инфлацията и сложната икономическа обстановка по отношение на сектора, в който работи Дружеството, а именно покупката на вземания.</w:t>
      </w:r>
    </w:p>
    <w:p w14:paraId="7BD5B0A8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4FE71750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Рискове и несигурности, пред които е изправено Дружеството до края на финансовата година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6F7642AF" w14:textId="77777777" w:rsidR="00020A70" w:rsidRPr="0044096E" w:rsidRDefault="00020A70" w:rsidP="00020A70">
      <w:pPr>
        <w:spacing w:after="0" w:line="240" w:lineRule="auto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E91F9F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2" w:name="bookmark5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2"/>
    </w:p>
    <w:p w14:paraId="586EEDE7" w14:textId="77777777" w:rsidR="00FB4E82" w:rsidRDefault="00FB4E82" w:rsidP="00BD2B62">
      <w:pPr>
        <w:spacing w:after="0" w:line="240" w:lineRule="auto"/>
        <w:ind w:firstLine="28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2A99A46" w14:textId="77777777" w:rsidR="00020A7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Управлението на риска е неразделна част от политиката по управление на </w:t>
      </w:r>
      <w:r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ружеството, тъй като е свързано с доверието на инвеститорите.</w:t>
      </w:r>
    </w:p>
    <w:p w14:paraId="2F9043BA" w14:textId="77777777" w:rsidR="00A63C6C" w:rsidRPr="005F26F0" w:rsidRDefault="00A63C6C" w:rsidP="00A63C6C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7566924" w14:textId="18264753" w:rsidR="00020A70" w:rsidRPr="0044096E" w:rsidRDefault="00A63C6C" w:rsidP="00651422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651422" w:rsidRPr="00651422">
        <w:rPr>
          <w:rFonts w:ascii="Calibri" w:eastAsia="SimSun" w:hAnsi="Calibri" w:cs="Times New Roman"/>
          <w:sz w:val="24"/>
          <w:szCs w:val="24"/>
          <w:lang w:eastAsia="zh-CN"/>
        </w:rPr>
        <w:t>Дейността на Дружеството е съсредоточена в инвестиране на парични средства, набирани чрез емитиранене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290C62F2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3" w:name="bookmark6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3"/>
    </w:p>
    <w:p w14:paraId="5B3CA1B9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40151ECF" w14:textId="77777777" w:rsidR="00020A70" w:rsidRPr="005F26F0" w:rsidRDefault="00A63C6C" w:rsidP="00FB4E82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>
        <w:rPr>
          <w:rFonts w:ascii="Calibri" w:eastAsia="SimSun" w:hAnsi="Calibri" w:cs="Times New Roman"/>
          <w:sz w:val="24"/>
          <w:szCs w:val="24"/>
          <w:lang w:eastAsia="zh-CN"/>
        </w:rPr>
        <w:tab/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/>
        </w:rPr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054BB48F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45A7EC2" w14:textId="77777777" w:rsidR="00020A70" w:rsidRPr="00FB4E82" w:rsidRDefault="00020A70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lastRenderedPageBreak/>
        <w:t>Политическият риск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5EBDA3C7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37E1CAF" w14:textId="25AB0338" w:rsidR="00851DF5" w:rsidRDefault="00020A70" w:rsidP="00CF18C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4B24BF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Макроикономическият риск</w:t>
      </w:r>
      <w:r w:rsidRPr="004B24BF">
        <w:rPr>
          <w:rFonts w:ascii="Calibri" w:eastAsia="SimSun" w:hAnsi="Calibri" w:cs="Times New Roman"/>
          <w:sz w:val="24"/>
          <w:szCs w:val="24"/>
          <w:lang w:eastAsia="zh-CN"/>
        </w:rPr>
        <w:t xml:space="preserve"> се характеризира чрез основните макроикономически индикатори - брутен вътрешен продукт, валутни курсове, лихвени равнища, инфлация, бюджетен дефицит, безработица и др. Лихвените равнища не се отразиха пряко върху дейността на </w:t>
      </w:r>
      <w:r w:rsidR="00FE5C86" w:rsidRPr="004B24BF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4B24BF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ружеството, тъй като не е използвало банкови кредити. </w:t>
      </w:r>
    </w:p>
    <w:p w14:paraId="2CA74560" w14:textId="77777777" w:rsidR="00CF18CF" w:rsidRPr="00CF18CF" w:rsidRDefault="00CF18CF" w:rsidP="00CF18CF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281F37D9" w14:textId="50D6A62A" w:rsidR="00DB30FC" w:rsidRPr="00FB4E82" w:rsidRDefault="00DB30FC" w:rsidP="00A63C6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B4E82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 w:rsidR="00A63C6C">
        <w:rPr>
          <w:rFonts w:ascii="Calibri" w:eastAsia="SimSun" w:hAnsi="Calibri" w:cs="Times New Roman"/>
          <w:sz w:val="24"/>
          <w:szCs w:val="24"/>
          <w:lang w:eastAsia="zh-CN"/>
        </w:rPr>
        <w:t>.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Този риск </w:t>
      </w:r>
      <w:r w:rsidR="00AC4B23">
        <w:rPr>
          <w:rFonts w:ascii="Calibri" w:eastAsia="SimSun" w:hAnsi="Calibri" w:cs="Times New Roman"/>
          <w:sz w:val="24"/>
          <w:szCs w:val="24"/>
          <w:lang w:eastAsia="zh-CN"/>
        </w:rPr>
        <w:t>беше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особено актуален през </w:t>
      </w:r>
      <w:r w:rsidR="00AC4B23">
        <w:rPr>
          <w:rFonts w:ascii="Calibri" w:eastAsia="SimSun" w:hAnsi="Calibri" w:cs="Times New Roman"/>
          <w:sz w:val="24"/>
          <w:szCs w:val="24"/>
          <w:lang w:eastAsia="zh-CN"/>
        </w:rPr>
        <w:t xml:space="preserve">изминалите години и </w:t>
      </w:r>
      <w:r w:rsidRPr="00FB4E82">
        <w:rPr>
          <w:rFonts w:ascii="Calibri" w:eastAsia="SimSun" w:hAnsi="Calibri" w:cs="Times New Roman"/>
          <w:sz w:val="24"/>
          <w:szCs w:val="24"/>
          <w:lang w:eastAsia="zh-CN"/>
        </w:rPr>
        <w:t xml:space="preserve"> доведе до съществено влошаване на инвестиционната среда. </w:t>
      </w:r>
      <w:r w:rsidR="00AC4B23" w:rsidRPr="00AC4B23">
        <w:rPr>
          <w:rFonts w:ascii="Calibri" w:eastAsia="SimSun" w:hAnsi="Calibri" w:cs="Times New Roman"/>
          <w:sz w:val="24"/>
          <w:szCs w:val="24"/>
          <w:lang w:eastAsia="zh-CN"/>
        </w:rPr>
        <w:t>Пандемията от COVID-19 е в процес на затихване и повечето  мерки и ограничения в тази връзка са само препоръчителни.</w:t>
      </w:r>
      <w:r w:rsidR="00B16BE1">
        <w:rPr>
          <w:rFonts w:ascii="Calibri" w:eastAsia="SimSun" w:hAnsi="Calibri" w:cs="Times New Roman"/>
          <w:sz w:val="24"/>
          <w:szCs w:val="24"/>
          <w:lang w:eastAsia="zh-CN"/>
        </w:rPr>
        <w:t xml:space="preserve"> </w:t>
      </w:r>
    </w:p>
    <w:p w14:paraId="50AE443E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487CD225" w14:textId="77777777" w:rsidR="00020A70" w:rsidRPr="00A63C6C" w:rsidRDefault="00020A70" w:rsidP="00A63C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</w:pPr>
      <w:bookmarkStart w:id="4" w:name="bookmark7"/>
      <w:r w:rsidRPr="00A63C6C">
        <w:rPr>
          <w:rFonts w:ascii="Calibri" w:eastAsia="SimSun" w:hAnsi="Calibri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4"/>
    </w:p>
    <w:p w14:paraId="7796A430" w14:textId="77777777" w:rsidR="00FB4E82" w:rsidRDefault="00FB4E82" w:rsidP="00FB4E82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6925C1F7" w14:textId="1C6F4BA1" w:rsidR="00020A70" w:rsidRPr="005F26F0" w:rsidRDefault="00020A70" w:rsidP="00FB4E82">
      <w:pPr>
        <w:spacing w:after="0" w:line="240" w:lineRule="auto"/>
        <w:ind w:firstLine="644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>Несистематичните рискове с</w:t>
      </w:r>
      <w:r w:rsidR="00F43F9F">
        <w:rPr>
          <w:rFonts w:ascii="Calibri" w:eastAsia="SimSun" w:hAnsi="Calibri" w:cs="Times New Roman"/>
          <w:sz w:val="24"/>
          <w:szCs w:val="24"/>
          <w:lang w:eastAsia="zh-CN"/>
        </w:rPr>
        <w:t xml:space="preserve">а фирмени рискове, върху които </w:t>
      </w:r>
      <w:r w:rsidR="003A467D" w:rsidRPr="003A467D">
        <w:rPr>
          <w:rFonts w:ascii="Calibri" w:eastAsia="SimSun" w:hAnsi="Calibri" w:cs="Times New Roman"/>
          <w:sz w:val="24"/>
          <w:szCs w:val="24"/>
          <w:lang w:eastAsia="zh-CN"/>
        </w:rPr>
        <w:t>„Компас Фонд за вземания“ АДСИЦ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</w:t>
      </w:r>
      <w:r w:rsidR="00886E2C" w:rsidRPr="005F26F0">
        <w:rPr>
          <w:rFonts w:ascii="Calibri" w:eastAsia="SimSun" w:hAnsi="Calibri" w:cs="Times New Roman"/>
          <w:sz w:val="24"/>
          <w:szCs w:val="24"/>
          <w:lang w:eastAsia="zh-CN"/>
        </w:rPr>
        <w:t>общо фирмен</w:t>
      </w:r>
      <w:r w:rsidRPr="005F26F0">
        <w:rPr>
          <w:rFonts w:ascii="Calibri" w:eastAsia="SimSun" w:hAnsi="Calibri" w:cs="Times New Roman"/>
          <w:sz w:val="24"/>
          <w:szCs w:val="24"/>
          <w:lang w:eastAsia="zh-CN"/>
        </w:rPr>
        <w:t xml:space="preserve"> риск, който обединява бизнес риска и финансовия риск.</w:t>
      </w:r>
    </w:p>
    <w:p w14:paraId="688F1CBC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54E49BD" w14:textId="77777777" w:rsidR="00020A70" w:rsidRPr="00FE5C86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Секторният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376FB1A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52FF0CEA" w14:textId="52C7BD32" w:rsidR="00020A70" w:rsidRDefault="00020A70" w:rsidP="00A63C6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Бизнес рискът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е свързан със специфичната дейност на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</w:t>
      </w:r>
      <w:r w:rsidR="008D44A7" w:rsidRPr="008D44A7">
        <w:rPr>
          <w:rFonts w:ascii="Calibri" w:eastAsia="SimSun" w:hAnsi="Calibri" w:cs="Times New Roman"/>
          <w:sz w:val="24"/>
          <w:szCs w:val="24"/>
          <w:lang w:eastAsia="zh-CN"/>
        </w:rPr>
        <w:t xml:space="preserve">„Компас Фонд за вземания“ АДСИЦ 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е в следните направления:</w:t>
      </w:r>
    </w:p>
    <w:p w14:paraId="01205383" w14:textId="5C23B5BB" w:rsidR="00020A7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223AEC" w:rsidRPr="00223AEC">
        <w:rPr>
          <w:rFonts w:ascii="Calibri" w:eastAsia="SimSun" w:hAnsi="Calibri" w:cs="Times New Roman"/>
          <w:sz w:val="24"/>
          <w:szCs w:val="24"/>
          <w:lang w:eastAsia="zh-CN" w:bidi="bg-BG"/>
        </w:rPr>
        <w:t>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6BE9CE51" w14:textId="77777777" w:rsidR="00020A70" w:rsidRPr="005F26F0" w:rsidRDefault="00A63C6C" w:rsidP="00A63C6C">
      <w:pPr>
        <w:pStyle w:val="ListParagraph"/>
        <w:spacing w:after="0" w:line="240" w:lineRule="auto"/>
        <w:ind w:left="0"/>
        <w:jc w:val="both"/>
        <w:rPr>
          <w:rFonts w:ascii="Calibri" w:eastAsia="SimSun" w:hAnsi="Calibri" w:cs="Times New Roman"/>
          <w:sz w:val="24"/>
          <w:szCs w:val="24"/>
          <w:lang w:eastAsia="zh-CN" w:bidi="bg-BG"/>
        </w:rPr>
      </w:pPr>
      <w:r>
        <w:rPr>
          <w:rFonts w:ascii="Calibri" w:eastAsia="SimSun" w:hAnsi="Calibri" w:cs="Times New Roman"/>
          <w:sz w:val="24"/>
          <w:szCs w:val="24"/>
          <w:lang w:eastAsia="zh-CN" w:bidi="bg-BG"/>
        </w:rPr>
        <w:tab/>
        <w:t xml:space="preserve">– </w:t>
      </w:r>
      <w:r w:rsidR="00020A70" w:rsidRPr="005F26F0">
        <w:rPr>
          <w:rFonts w:ascii="Calibri" w:eastAsia="SimSun" w:hAnsi="Calibri" w:cs="Times New Roman"/>
          <w:sz w:val="24"/>
          <w:szCs w:val="24"/>
          <w:lang w:eastAsia="zh-CN" w:bidi="bg-BG"/>
        </w:rPr>
        <w:t>предпазливост при в</w:t>
      </w:r>
      <w:r w:rsidR="00FE5C86">
        <w:rPr>
          <w:rFonts w:ascii="Calibri" w:eastAsia="SimSun" w:hAnsi="Calibri" w:cs="Times New Roman"/>
          <w:sz w:val="24"/>
          <w:szCs w:val="24"/>
          <w:lang w:eastAsia="zh-CN" w:bidi="bg-BG"/>
        </w:rPr>
        <w:t>земане на решения за инвестиции.</w:t>
      </w:r>
    </w:p>
    <w:p w14:paraId="039CE986" w14:textId="77777777" w:rsidR="00020A70" w:rsidRPr="0044096E" w:rsidRDefault="00020A70" w:rsidP="00020A70">
      <w:pPr>
        <w:spacing w:after="0" w:line="240" w:lineRule="auto"/>
        <w:ind w:left="720" w:firstLine="360"/>
        <w:jc w:val="both"/>
        <w:rPr>
          <w:rFonts w:ascii="Calibri" w:eastAsia="SimSun" w:hAnsi="Calibri" w:cs="Times New Roman"/>
          <w:i/>
          <w:sz w:val="24"/>
          <w:szCs w:val="24"/>
          <w:lang w:eastAsia="zh-CN" w:bidi="bg-BG"/>
        </w:rPr>
      </w:pPr>
    </w:p>
    <w:p w14:paraId="35B762F7" w14:textId="77777777" w:rsidR="00020A70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FE5C86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Финансовият риск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</w:t>
      </w:r>
      <w:r w:rsidR="00FE5C86" w:rsidRPr="00FE5C86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FE5C86">
        <w:rPr>
          <w:rFonts w:ascii="Calibri" w:eastAsia="SimSun" w:hAnsi="Calibri" w:cs="Times New Roman"/>
          <w:sz w:val="24"/>
          <w:szCs w:val="24"/>
          <w:lang w:eastAsia="zh-CN"/>
        </w:rPr>
        <w:t>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75C7ACA" w14:textId="77777777" w:rsidR="00A63C6C" w:rsidRPr="00FE5C86" w:rsidRDefault="00A63C6C" w:rsidP="00A63C6C">
      <w:pPr>
        <w:pStyle w:val="ListParagraph"/>
        <w:spacing w:after="0" w:line="240" w:lineRule="auto"/>
        <w:ind w:left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1DF8827" w14:textId="77777777" w:rsidR="00020A70" w:rsidRPr="00A63C6C" w:rsidRDefault="00020A70" w:rsidP="00A63C6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i/>
          <w:sz w:val="24"/>
          <w:szCs w:val="24"/>
          <w:lang w:eastAsia="zh-CN"/>
        </w:rPr>
        <w:t>Ликвидните рискове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 xml:space="preserve"> са свързани  с възможността </w:t>
      </w:r>
      <w:r w:rsidR="00FE5C86" w:rsidRPr="00A63C6C">
        <w:rPr>
          <w:rFonts w:ascii="Calibri" w:eastAsia="SimSun" w:hAnsi="Calibri" w:cs="Times New Roman"/>
          <w:sz w:val="24"/>
          <w:szCs w:val="24"/>
          <w:lang w:eastAsia="zh-CN"/>
        </w:rPr>
        <w:t>Д</w:t>
      </w:r>
      <w:r w:rsidRPr="00A63C6C">
        <w:rPr>
          <w:rFonts w:ascii="Calibri" w:eastAsia="SimSun" w:hAnsi="Calibri" w:cs="Times New Roman"/>
          <w:sz w:val="24"/>
          <w:szCs w:val="24"/>
          <w:lang w:eastAsia="zh-CN"/>
        </w:rPr>
        <w:t>ружеството да не погаси в договорения размер или в срок свои финансови задължения.</w:t>
      </w:r>
    </w:p>
    <w:p w14:paraId="477701CE" w14:textId="77777777" w:rsidR="00F62E5A" w:rsidRPr="0044096E" w:rsidRDefault="00F62E5A" w:rsidP="00D0424E">
      <w:pPr>
        <w:spacing w:after="0" w:line="240" w:lineRule="auto"/>
        <w:jc w:val="both"/>
        <w:rPr>
          <w:rFonts w:ascii="Calibri" w:eastAsia="SimSun" w:hAnsi="Calibri" w:cs="Times New Roman"/>
          <w:i/>
          <w:sz w:val="24"/>
          <w:szCs w:val="24"/>
          <w:lang w:eastAsia="zh-CN"/>
        </w:rPr>
      </w:pPr>
    </w:p>
    <w:p w14:paraId="3B8D1A2C" w14:textId="77777777" w:rsidR="00020A70" w:rsidRPr="00A63C6C" w:rsidRDefault="00020A70" w:rsidP="00A63C6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A63C6C">
        <w:rPr>
          <w:rFonts w:ascii="Calibri" w:eastAsia="SimSun" w:hAnsi="Calibri" w:cs="Times New Roman"/>
          <w:b/>
          <w:sz w:val="24"/>
          <w:szCs w:val="24"/>
          <w:lang w:eastAsia="zh-CN"/>
        </w:rPr>
        <w:t>Информация за сделки между Дружеството и свързани лица</w:t>
      </w:r>
      <w:r w:rsidR="00A63C6C">
        <w:rPr>
          <w:rFonts w:ascii="Calibri" w:eastAsia="SimSun" w:hAnsi="Calibri" w:cs="Times New Roman"/>
          <w:b/>
          <w:sz w:val="24"/>
          <w:szCs w:val="24"/>
          <w:lang w:eastAsia="zh-CN"/>
        </w:rPr>
        <w:t>.</w:t>
      </w:r>
    </w:p>
    <w:p w14:paraId="2F31D7C3" w14:textId="77777777" w:rsidR="00FE5C86" w:rsidRPr="00FE5C86" w:rsidRDefault="00FE5C86" w:rsidP="00FE5C86">
      <w:pPr>
        <w:spacing w:after="0" w:line="240" w:lineRule="auto"/>
        <w:ind w:left="720"/>
        <w:jc w:val="both"/>
        <w:rPr>
          <w:rFonts w:ascii="Calibri" w:eastAsia="SimSun" w:hAnsi="Calibri" w:cs="Times New Roman"/>
          <w:b/>
          <w:i/>
          <w:sz w:val="24"/>
          <w:szCs w:val="24"/>
          <w:lang w:eastAsia="zh-CN"/>
        </w:rPr>
      </w:pPr>
    </w:p>
    <w:p w14:paraId="262F1C26" w14:textId="73A56B9D" w:rsidR="00FE5C86" w:rsidRDefault="00020A70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През отчетния период </w:t>
      </w:r>
      <w:r w:rsidR="00A900A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Дружеството </w:t>
      </w:r>
      <w:r w:rsidR="0066475E" w:rsidRPr="0066475E">
        <w:rPr>
          <w:rFonts w:ascii="Calibri" w:eastAsia="SimSun" w:hAnsi="Calibri" w:cs="Times New Roman"/>
          <w:sz w:val="24"/>
          <w:szCs w:val="24"/>
          <w:lang w:eastAsia="zh-CN"/>
        </w:rPr>
        <w:t>не е осъществявало сделки със</w:t>
      </w:r>
      <w:r w:rsidR="00890401" w:rsidRPr="0066475E">
        <w:rPr>
          <w:rFonts w:ascii="Calibri" w:eastAsia="SimSun" w:hAnsi="Calibri" w:cs="Times New Roman"/>
          <w:sz w:val="24"/>
          <w:szCs w:val="24"/>
          <w:lang w:eastAsia="zh-CN"/>
        </w:rPr>
        <w:t xml:space="preserve"> свързани лица.</w:t>
      </w:r>
    </w:p>
    <w:p w14:paraId="6F272D41" w14:textId="1317141D" w:rsidR="00B16BE1" w:rsidRDefault="00B16BE1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540E1613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3B71C0A0" w14:textId="77777777" w:rsidR="00FE5C86" w:rsidRDefault="00FE5C86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</w:p>
    <w:p w14:paraId="15F79F48" w14:textId="683DF283" w:rsidR="00020A70" w:rsidRPr="007040AA" w:rsidRDefault="00D14F05" w:rsidP="00FE5C86">
      <w:pPr>
        <w:spacing w:after="0" w:line="240" w:lineRule="auto"/>
        <w:ind w:firstLine="360"/>
        <w:jc w:val="both"/>
        <w:rPr>
          <w:rFonts w:ascii="Calibri" w:eastAsia="SimSun" w:hAnsi="Calibri" w:cs="Times New Roman"/>
          <w:b/>
          <w:sz w:val="24"/>
          <w:szCs w:val="24"/>
          <w:lang w:val="ru-RU" w:eastAsia="zh-CN"/>
        </w:rPr>
      </w:pPr>
      <w:r w:rsidRPr="00D14F05">
        <w:rPr>
          <w:rFonts w:ascii="Calibri" w:eastAsia="SimSun" w:hAnsi="Calibri" w:cs="Times New Roman"/>
          <w:b/>
          <w:sz w:val="24"/>
          <w:szCs w:val="24"/>
          <w:lang w:val="en-US" w:eastAsia="zh-CN"/>
        </w:rPr>
        <w:t>19</w:t>
      </w:r>
      <w:r w:rsidR="00B2175B" w:rsidRPr="00D14F05">
        <w:rPr>
          <w:rFonts w:ascii="Calibri" w:eastAsia="SimSun" w:hAnsi="Calibri" w:cs="Times New Roman"/>
          <w:b/>
          <w:sz w:val="24"/>
          <w:szCs w:val="24"/>
          <w:lang w:eastAsia="zh-CN"/>
        </w:rPr>
        <w:t>.0</w:t>
      </w:r>
      <w:r w:rsidR="004926EE" w:rsidRPr="00D14F05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7</w:t>
      </w:r>
      <w:r w:rsidR="00020A70" w:rsidRPr="00D14F05">
        <w:rPr>
          <w:rFonts w:ascii="Calibri" w:eastAsia="SimSun" w:hAnsi="Calibri" w:cs="Times New Roman"/>
          <w:b/>
          <w:sz w:val="24"/>
          <w:szCs w:val="24"/>
          <w:lang w:eastAsia="zh-CN"/>
        </w:rPr>
        <w:t>.202</w:t>
      </w:r>
      <w:r w:rsidR="00B16BE1" w:rsidRPr="00D14F05">
        <w:rPr>
          <w:rFonts w:ascii="Calibri" w:eastAsia="SimSun" w:hAnsi="Calibri" w:cs="Times New Roman"/>
          <w:b/>
          <w:sz w:val="24"/>
          <w:szCs w:val="24"/>
          <w:lang w:eastAsia="zh-CN"/>
        </w:rPr>
        <w:t>3</w:t>
      </w:r>
      <w:r w:rsidR="00A63C6C" w:rsidRPr="00D14F05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г.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</w:t>
      </w:r>
      <w:r w:rsidR="00020A70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Изпълнителен директор:</w:t>
      </w:r>
      <w:r w:rsidR="00A63C6C"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r w:rsidR="00A63C6C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______________________</w:t>
      </w:r>
      <w:r w:rsidR="007C5B2E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>___</w:t>
      </w:r>
    </w:p>
    <w:p w14:paraId="57A648DF" w14:textId="6F0181CC" w:rsidR="008D752B" w:rsidRPr="005A6E0D" w:rsidRDefault="00A63C6C" w:rsidP="00A63C6C">
      <w:pPr>
        <w:spacing w:after="0" w:line="240" w:lineRule="auto"/>
        <w:rPr>
          <w:rFonts w:ascii="Calibri" w:eastAsia="SimSun" w:hAnsi="Calibri" w:cs="Times New Roman"/>
          <w:b/>
          <w:sz w:val="24"/>
          <w:szCs w:val="24"/>
          <w:lang w:eastAsia="zh-CN"/>
        </w:rPr>
      </w:pPr>
      <w:r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   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>гр. София</w:t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</w:r>
      <w:r w:rsidRPr="007C5B2E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      </w:t>
      </w:r>
      <w:r w:rsidR="007C5B2E" w:rsidRPr="007040AA">
        <w:rPr>
          <w:rFonts w:ascii="Calibri" w:eastAsia="SimSun" w:hAnsi="Calibri" w:cs="Times New Roman"/>
          <w:b/>
          <w:sz w:val="24"/>
          <w:szCs w:val="24"/>
          <w:lang w:val="ru-RU" w:eastAsia="zh-CN"/>
        </w:rPr>
        <w:t xml:space="preserve">   </w:t>
      </w:r>
      <w:r w:rsidR="005A6E0D">
        <w:rPr>
          <w:rFonts w:ascii="Calibri" w:eastAsia="SimSun" w:hAnsi="Calibri" w:cs="Times New Roman"/>
          <w:b/>
          <w:sz w:val="24"/>
          <w:szCs w:val="24"/>
          <w:lang w:eastAsia="zh-CN"/>
        </w:rPr>
        <w:t>Иван Пирински</w:t>
      </w:r>
    </w:p>
    <w:sectPr w:rsidR="008D752B" w:rsidRPr="005A6E0D" w:rsidSect="00CF18CF">
      <w:headerReference w:type="default" r:id="rId8"/>
      <w:footerReference w:type="default" r:id="rId9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82B1" w14:textId="77777777" w:rsidR="004063C8" w:rsidRDefault="004063C8" w:rsidP="004063C8">
      <w:pPr>
        <w:spacing w:after="0" w:line="240" w:lineRule="auto"/>
      </w:pPr>
      <w:r>
        <w:separator/>
      </w:r>
    </w:p>
  </w:endnote>
  <w:endnote w:type="continuationSeparator" w:id="0">
    <w:p w14:paraId="5C41D1B3" w14:textId="77777777" w:rsidR="004063C8" w:rsidRDefault="004063C8" w:rsidP="0040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901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D391E" w14:textId="77777777" w:rsidR="004B541A" w:rsidRDefault="004B541A" w:rsidP="00874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3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8A4D" w14:textId="77777777" w:rsidR="004063C8" w:rsidRDefault="004063C8" w:rsidP="004063C8">
      <w:pPr>
        <w:spacing w:after="0" w:line="240" w:lineRule="auto"/>
      </w:pPr>
      <w:r>
        <w:separator/>
      </w:r>
    </w:p>
  </w:footnote>
  <w:footnote w:type="continuationSeparator" w:id="0">
    <w:p w14:paraId="373B8512" w14:textId="77777777" w:rsidR="004063C8" w:rsidRDefault="004063C8" w:rsidP="0040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3958" w14:textId="542CFA43" w:rsidR="004063C8" w:rsidRPr="007040AA" w:rsidRDefault="007040AA">
    <w:pPr>
      <w:pStyle w:val="Header"/>
      <w:rPr>
        <w:sz w:val="32"/>
        <w:szCs w:val="32"/>
      </w:rPr>
    </w:pPr>
    <w:r w:rsidRPr="007040AA">
      <w:rPr>
        <w:sz w:val="32"/>
        <w:szCs w:val="32"/>
      </w:rPr>
      <w:t>„Компас Фонд за Вземания“ АДСИЦ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A97"/>
    <w:multiLevelType w:val="hybridMultilevel"/>
    <w:tmpl w:val="FFF618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2982"/>
    <w:multiLevelType w:val="hybridMultilevel"/>
    <w:tmpl w:val="E372091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F3746"/>
    <w:multiLevelType w:val="hybridMultilevel"/>
    <w:tmpl w:val="6A48C83C"/>
    <w:lvl w:ilvl="0" w:tplc="76A06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B65CB"/>
    <w:multiLevelType w:val="hybridMultilevel"/>
    <w:tmpl w:val="9A32EF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3986"/>
    <w:multiLevelType w:val="hybridMultilevel"/>
    <w:tmpl w:val="63A29A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2737"/>
    <w:multiLevelType w:val="hybridMultilevel"/>
    <w:tmpl w:val="2F788FF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CC9"/>
    <w:multiLevelType w:val="hybridMultilevel"/>
    <w:tmpl w:val="99803A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2E67B2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5F25"/>
    <w:multiLevelType w:val="hybridMultilevel"/>
    <w:tmpl w:val="FFA889D8"/>
    <w:lvl w:ilvl="0" w:tplc="9064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A5998"/>
    <w:multiLevelType w:val="hybridMultilevel"/>
    <w:tmpl w:val="A91892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D407C"/>
    <w:multiLevelType w:val="hybridMultilevel"/>
    <w:tmpl w:val="259E82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F5C"/>
    <w:multiLevelType w:val="hybridMultilevel"/>
    <w:tmpl w:val="BF860D4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739D"/>
    <w:multiLevelType w:val="hybridMultilevel"/>
    <w:tmpl w:val="A69C3AB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CA623A"/>
    <w:multiLevelType w:val="hybridMultilevel"/>
    <w:tmpl w:val="12F804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8203E"/>
    <w:multiLevelType w:val="hybridMultilevel"/>
    <w:tmpl w:val="68561D54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911A40"/>
    <w:multiLevelType w:val="hybridMultilevel"/>
    <w:tmpl w:val="AE84A7EA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EA7C5E"/>
    <w:multiLevelType w:val="hybridMultilevel"/>
    <w:tmpl w:val="D8142E66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B0291D"/>
    <w:multiLevelType w:val="hybridMultilevel"/>
    <w:tmpl w:val="84123A8C"/>
    <w:lvl w:ilvl="0" w:tplc="3E2466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260B5"/>
    <w:multiLevelType w:val="hybridMultilevel"/>
    <w:tmpl w:val="1F52E0B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5023AE"/>
    <w:multiLevelType w:val="hybridMultilevel"/>
    <w:tmpl w:val="62805B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62328"/>
    <w:multiLevelType w:val="hybridMultilevel"/>
    <w:tmpl w:val="D2DCEFA6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D1D1B"/>
    <w:multiLevelType w:val="hybridMultilevel"/>
    <w:tmpl w:val="9C084E2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4A3BBB"/>
    <w:multiLevelType w:val="hybridMultilevel"/>
    <w:tmpl w:val="D6C6011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EC4255A"/>
    <w:multiLevelType w:val="hybridMultilevel"/>
    <w:tmpl w:val="479A636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B6DCD"/>
    <w:multiLevelType w:val="hybridMultilevel"/>
    <w:tmpl w:val="29AE55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0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01854">
    <w:abstractNumId w:val="1"/>
  </w:num>
  <w:num w:numId="3" w16cid:durableId="886180823">
    <w:abstractNumId w:val="19"/>
  </w:num>
  <w:num w:numId="4" w16cid:durableId="1869374497">
    <w:abstractNumId w:val="24"/>
  </w:num>
  <w:num w:numId="5" w16cid:durableId="2068722149">
    <w:abstractNumId w:val="5"/>
  </w:num>
  <w:num w:numId="6" w16cid:durableId="1722905008">
    <w:abstractNumId w:val="12"/>
  </w:num>
  <w:num w:numId="7" w16cid:durableId="1712922408">
    <w:abstractNumId w:val="0"/>
  </w:num>
  <w:num w:numId="8" w16cid:durableId="530260614">
    <w:abstractNumId w:val="9"/>
  </w:num>
  <w:num w:numId="9" w16cid:durableId="48917066">
    <w:abstractNumId w:val="6"/>
  </w:num>
  <w:num w:numId="10" w16cid:durableId="1241407729">
    <w:abstractNumId w:val="4"/>
  </w:num>
  <w:num w:numId="11" w16cid:durableId="370763187">
    <w:abstractNumId w:val="7"/>
  </w:num>
  <w:num w:numId="12" w16cid:durableId="421223748">
    <w:abstractNumId w:val="17"/>
  </w:num>
  <w:num w:numId="13" w16cid:durableId="1456752353">
    <w:abstractNumId w:val="20"/>
  </w:num>
  <w:num w:numId="14" w16cid:durableId="170031868">
    <w:abstractNumId w:val="21"/>
  </w:num>
  <w:num w:numId="15" w16cid:durableId="2123723016">
    <w:abstractNumId w:val="11"/>
  </w:num>
  <w:num w:numId="16" w16cid:durableId="1480222096">
    <w:abstractNumId w:val="14"/>
  </w:num>
  <w:num w:numId="17" w16cid:durableId="9376312">
    <w:abstractNumId w:val="13"/>
  </w:num>
  <w:num w:numId="18" w16cid:durableId="1983390100">
    <w:abstractNumId w:val="15"/>
  </w:num>
  <w:num w:numId="19" w16cid:durableId="1935046785">
    <w:abstractNumId w:val="10"/>
  </w:num>
  <w:num w:numId="20" w16cid:durableId="247274779">
    <w:abstractNumId w:val="16"/>
  </w:num>
  <w:num w:numId="21" w16cid:durableId="477116863">
    <w:abstractNumId w:val="2"/>
  </w:num>
  <w:num w:numId="22" w16cid:durableId="1568607340">
    <w:abstractNumId w:val="22"/>
  </w:num>
  <w:num w:numId="23" w16cid:durableId="1832988229">
    <w:abstractNumId w:val="18"/>
  </w:num>
  <w:num w:numId="24" w16cid:durableId="451871481">
    <w:abstractNumId w:val="8"/>
  </w:num>
  <w:num w:numId="25" w16cid:durableId="1780678898">
    <w:abstractNumId w:val="3"/>
  </w:num>
  <w:num w:numId="26" w16cid:durableId="21026812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1273E0"/>
    <w:rsid w:val="00144587"/>
    <w:rsid w:val="0014753F"/>
    <w:rsid w:val="00160E81"/>
    <w:rsid w:val="001619AE"/>
    <w:rsid w:val="00166898"/>
    <w:rsid w:val="001C67D9"/>
    <w:rsid w:val="00223AEC"/>
    <w:rsid w:val="00245E01"/>
    <w:rsid w:val="00247B7E"/>
    <w:rsid w:val="00276F02"/>
    <w:rsid w:val="002847D1"/>
    <w:rsid w:val="00293AF0"/>
    <w:rsid w:val="002A44AF"/>
    <w:rsid w:val="002F7A24"/>
    <w:rsid w:val="0032719F"/>
    <w:rsid w:val="003423FC"/>
    <w:rsid w:val="00343360"/>
    <w:rsid w:val="003651D6"/>
    <w:rsid w:val="003763E1"/>
    <w:rsid w:val="003A3512"/>
    <w:rsid w:val="003A467D"/>
    <w:rsid w:val="003B1C32"/>
    <w:rsid w:val="003C18AB"/>
    <w:rsid w:val="003C4EC9"/>
    <w:rsid w:val="003E0809"/>
    <w:rsid w:val="003E180C"/>
    <w:rsid w:val="003E22AC"/>
    <w:rsid w:val="00405248"/>
    <w:rsid w:val="004063C8"/>
    <w:rsid w:val="00416CDB"/>
    <w:rsid w:val="0044096E"/>
    <w:rsid w:val="00452593"/>
    <w:rsid w:val="004926EE"/>
    <w:rsid w:val="004B24BF"/>
    <w:rsid w:val="004B541A"/>
    <w:rsid w:val="004E1018"/>
    <w:rsid w:val="004F2280"/>
    <w:rsid w:val="00523CAE"/>
    <w:rsid w:val="00536BDE"/>
    <w:rsid w:val="0055604A"/>
    <w:rsid w:val="00564A6C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7E02"/>
    <w:rsid w:val="006F0CEA"/>
    <w:rsid w:val="007040AA"/>
    <w:rsid w:val="00720F48"/>
    <w:rsid w:val="00722AF1"/>
    <w:rsid w:val="007232F1"/>
    <w:rsid w:val="00736CCF"/>
    <w:rsid w:val="00743B4B"/>
    <w:rsid w:val="00754997"/>
    <w:rsid w:val="007551FA"/>
    <w:rsid w:val="007643FC"/>
    <w:rsid w:val="007B57B3"/>
    <w:rsid w:val="007B66E4"/>
    <w:rsid w:val="007C5B2E"/>
    <w:rsid w:val="007D2192"/>
    <w:rsid w:val="007F37A7"/>
    <w:rsid w:val="008410F6"/>
    <w:rsid w:val="00851DF5"/>
    <w:rsid w:val="00867245"/>
    <w:rsid w:val="00874952"/>
    <w:rsid w:val="00883F61"/>
    <w:rsid w:val="00886E2C"/>
    <w:rsid w:val="00890401"/>
    <w:rsid w:val="008D44A7"/>
    <w:rsid w:val="00931A88"/>
    <w:rsid w:val="009678DB"/>
    <w:rsid w:val="00975B22"/>
    <w:rsid w:val="009B1167"/>
    <w:rsid w:val="009B1C07"/>
    <w:rsid w:val="00A25592"/>
    <w:rsid w:val="00A63C6C"/>
    <w:rsid w:val="00A71B8B"/>
    <w:rsid w:val="00A900A1"/>
    <w:rsid w:val="00AA16DC"/>
    <w:rsid w:val="00AB78EE"/>
    <w:rsid w:val="00AC4B23"/>
    <w:rsid w:val="00B14A2C"/>
    <w:rsid w:val="00B16BE1"/>
    <w:rsid w:val="00B2175B"/>
    <w:rsid w:val="00B34E7D"/>
    <w:rsid w:val="00B5520D"/>
    <w:rsid w:val="00B64AE3"/>
    <w:rsid w:val="00BD2B62"/>
    <w:rsid w:val="00BD4C47"/>
    <w:rsid w:val="00BE2347"/>
    <w:rsid w:val="00C1601E"/>
    <w:rsid w:val="00C5190F"/>
    <w:rsid w:val="00C7058C"/>
    <w:rsid w:val="00C70F35"/>
    <w:rsid w:val="00C71B78"/>
    <w:rsid w:val="00C8050C"/>
    <w:rsid w:val="00C8099F"/>
    <w:rsid w:val="00C82959"/>
    <w:rsid w:val="00CF18CF"/>
    <w:rsid w:val="00CF453F"/>
    <w:rsid w:val="00CF7EE9"/>
    <w:rsid w:val="00D0424E"/>
    <w:rsid w:val="00D14F05"/>
    <w:rsid w:val="00D226F4"/>
    <w:rsid w:val="00D30D61"/>
    <w:rsid w:val="00D4478B"/>
    <w:rsid w:val="00DB30FC"/>
    <w:rsid w:val="00DE1CC0"/>
    <w:rsid w:val="00E3678A"/>
    <w:rsid w:val="00E606E6"/>
    <w:rsid w:val="00E862AD"/>
    <w:rsid w:val="00EB7B08"/>
    <w:rsid w:val="00F43F9F"/>
    <w:rsid w:val="00F475E6"/>
    <w:rsid w:val="00F62E5A"/>
    <w:rsid w:val="00F64146"/>
    <w:rsid w:val="00FB4E82"/>
    <w:rsid w:val="00FE5C86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F754"/>
  <w15:chartTrackingRefBased/>
  <w15:docId w15:val="{C6B386C5-0CC8-4512-B929-57A4137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3C8"/>
  </w:style>
  <w:style w:type="paragraph" w:styleId="Footer">
    <w:name w:val="footer"/>
    <w:basedOn w:val="Normal"/>
    <w:link w:val="FooterChar"/>
    <w:uiPriority w:val="99"/>
    <w:unhideWhenUsed/>
    <w:rsid w:val="00406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3C8"/>
  </w:style>
  <w:style w:type="paragraph" w:styleId="BalloonText">
    <w:name w:val="Balloon Text"/>
    <w:basedOn w:val="Normal"/>
    <w:link w:val="BalloonTextChar"/>
    <w:uiPriority w:val="99"/>
    <w:semiHidden/>
    <w:unhideWhenUsed/>
    <w:rsid w:val="003A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0A1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A900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2F7A24"/>
  </w:style>
  <w:style w:type="character" w:styleId="UnresolvedMention">
    <w:name w:val="Unresolved Mention"/>
    <w:basedOn w:val="DefaultParagraphFont"/>
    <w:uiPriority w:val="99"/>
    <w:semiHidden/>
    <w:unhideWhenUsed/>
    <w:rsid w:val="003C4EC9"/>
    <w:rPr>
      <w:color w:val="605E5C"/>
      <w:shd w:val="clear" w:color="auto" w:fill="E1DFDD"/>
    </w:rPr>
  </w:style>
  <w:style w:type="table" w:customStyle="1" w:styleId="TableGrid112">
    <w:name w:val="Table Grid112"/>
    <w:basedOn w:val="TableNormal"/>
    <w:next w:val="TableGrid"/>
    <w:rsid w:val="00B1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54997"/>
    <w:pPr>
      <w:suppressAutoHyphens/>
      <w:spacing w:after="284" w:line="280" w:lineRule="atLeast"/>
    </w:pPr>
    <w:rPr>
      <w:rFonts w:ascii="Garamond" w:eastAsia="Times New Roman" w:hAnsi="Garamond" w:cs="Arial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754997"/>
    <w:rPr>
      <w:rFonts w:ascii="Garamond" w:eastAsia="Times New Roman" w:hAnsi="Garamond" w:cs="Arial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Valentin Stoilov</cp:lastModifiedBy>
  <cp:revision>3</cp:revision>
  <cp:lastPrinted>2020-07-01T12:32:00Z</cp:lastPrinted>
  <dcterms:created xsi:type="dcterms:W3CDTF">2023-07-17T08:59:00Z</dcterms:created>
  <dcterms:modified xsi:type="dcterms:W3CDTF">2023-07-18T12:33:00Z</dcterms:modified>
</cp:coreProperties>
</file>